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4F31B1">
        <w:rPr>
          <w:rFonts w:cs="Arial"/>
          <w:sz w:val="20"/>
        </w:rPr>
        <w:t>100</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7878D4">
        <w:rPr>
          <w:rFonts w:eastAsia="宋体"/>
          <w:lang w:eastAsia="zh-CN"/>
        </w:rPr>
        <w:t xml:space="preserve"> </w:t>
      </w:r>
      <w:bookmarkStart w:id="2" w:name="_GoBack"/>
      <w:bookmarkEnd w:id="2"/>
      <w:r w:rsidR="001F7A25" w:rsidRPr="001F7A25">
        <w:t>R4-2114505</w:t>
      </w:r>
    </w:p>
    <w:p w:rsidR="00675C27" w:rsidRPr="00444A16" w:rsidRDefault="004F31B1" w:rsidP="00F71A33">
      <w:pPr>
        <w:pStyle w:val="a1"/>
        <w:rPr>
          <w:rFonts w:eastAsia="宋体"/>
          <w:lang w:eastAsia="zh-CN"/>
        </w:rPr>
      </w:pPr>
      <w:r w:rsidRPr="004F31B1">
        <w:rPr>
          <w:rFonts w:eastAsia="宋体"/>
          <w:lang w:eastAsia="zh-CN"/>
        </w:rPr>
        <w:t>Electronic Meeting, August 16-27,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53008" w:rsidRPr="00953008">
        <w:rPr>
          <w:rFonts w:ascii="Arial" w:hAnsi="Arial" w:cs="Arial"/>
          <w:sz w:val="22"/>
        </w:rPr>
        <w:t>Further consideration on SL timing alignment</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1F7A25" w:rsidRPr="001F7A25">
        <w:rPr>
          <w:rFonts w:ascii="Arial" w:hAnsi="Arial" w:cs="Arial"/>
          <w:sz w:val="22"/>
        </w:rPr>
        <w:t>9.15.5.3</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595F11" w:rsidRDefault="00595F11" w:rsidP="009A089A">
      <w:r>
        <w:t>SL timing alignment has been further discussed in last RAN4 meeting</w:t>
      </w:r>
      <w:r w:rsidR="00732F61">
        <w:t xml:space="preserve">. </w:t>
      </w:r>
      <w:r>
        <w:t>Since there is no consensus in RAN4, an LS was sent to RAN1 in [1]. Two options are listed in the LS:</w:t>
      </w:r>
    </w:p>
    <w:p w:rsidR="00595F11" w:rsidRPr="00595F11" w:rsidRDefault="00595F11" w:rsidP="00595F11">
      <w:pPr>
        <w:spacing w:after="120"/>
        <w:rPr>
          <w:bCs/>
          <w:i/>
        </w:rPr>
      </w:pPr>
      <w:r w:rsidRPr="00595F11">
        <w:rPr>
          <w:bCs/>
          <w:i/>
        </w:rPr>
        <w:t>Option 1: To follow the Rel-16 agreement to align SL transmission timing with DL timing.</w:t>
      </w:r>
    </w:p>
    <w:p w:rsidR="00595F11" w:rsidRPr="00595F11" w:rsidRDefault="00595F11" w:rsidP="00595F11">
      <w:pPr>
        <w:spacing w:after="120"/>
        <w:rPr>
          <w:bCs/>
          <w:i/>
        </w:rPr>
      </w:pPr>
      <w:r w:rsidRPr="00595F11">
        <w:rPr>
          <w:bCs/>
          <w:i/>
        </w:rPr>
        <w:t>Option 2: To reconsider SL transmission timing to align with UL timing to mitigate the interference between Uu and SL, i.e.</w:t>
      </w:r>
    </w:p>
    <w:p w:rsidR="00595F11" w:rsidRPr="00595F11" w:rsidRDefault="00595F11" w:rsidP="00595F11">
      <w:pPr>
        <w:numPr>
          <w:ilvl w:val="0"/>
          <w:numId w:val="49"/>
        </w:numPr>
        <w:tabs>
          <w:tab w:val="num" w:pos="1800"/>
        </w:tabs>
        <w:spacing w:after="120"/>
        <w:rPr>
          <w:bCs/>
          <w:i/>
          <w:lang w:val="en-US"/>
        </w:rPr>
      </w:pPr>
      <w:r w:rsidRPr="00595F11">
        <w:rPr>
          <w:bCs/>
          <w:i/>
        </w:rPr>
        <w:t xml:space="preserve">For sidelink transmissions, </w:t>
      </w:r>
    </w:p>
    <w:p w:rsidR="00595F11" w:rsidRPr="00595F11" w:rsidRDefault="00595F11" w:rsidP="00595F11">
      <w:pPr>
        <w:numPr>
          <w:ilvl w:val="1"/>
          <w:numId w:val="49"/>
        </w:numPr>
        <w:tabs>
          <w:tab w:val="num" w:pos="2520"/>
        </w:tabs>
        <w:spacing w:after="120"/>
        <w:rPr>
          <w:bCs/>
          <w:i/>
          <w:lang w:val="en-US"/>
        </w:rPr>
      </w:pPr>
      <w:r w:rsidRPr="00595F11">
        <w:rPr>
          <w:bCs/>
          <w:i/>
        </w:rPr>
        <w:t xml:space="preserve">SL transmission timing is aligned with Uplink timing when Uu and sidelink is TDMed/FDMed coexistence in the same band, including TDM coexistence within the same carrier or different carriers. </w:t>
      </w:r>
    </w:p>
    <w:p w:rsidR="00595F11" w:rsidRPr="00595F11" w:rsidRDefault="00595F11" w:rsidP="00595F11">
      <w:pPr>
        <w:numPr>
          <w:ilvl w:val="1"/>
          <w:numId w:val="49"/>
        </w:numPr>
        <w:tabs>
          <w:tab w:val="num" w:pos="2520"/>
        </w:tabs>
        <w:spacing w:after="120"/>
        <w:rPr>
          <w:bCs/>
          <w:i/>
          <w:lang w:val="en-US"/>
        </w:rPr>
      </w:pPr>
      <w:r w:rsidRPr="00595F11">
        <w:rPr>
          <w:bCs/>
          <w:i/>
        </w:rPr>
        <w:t>Otherwise, SL transmission timing is aligned with Downlink timing.</w:t>
      </w:r>
    </w:p>
    <w:p w:rsidR="009A089A" w:rsidRDefault="00732F61" w:rsidP="009A089A">
      <w:r>
        <w:t xml:space="preserve">In this contribution, we </w:t>
      </w:r>
      <w:r w:rsidR="00595F11">
        <w:t>provide our further consideration</w:t>
      </w:r>
      <w:r>
        <w:t xml:space="preserve"> on the issue.</w:t>
      </w:r>
    </w:p>
    <w:p w:rsidR="00062E8E" w:rsidRDefault="00062E8E" w:rsidP="00F23E96">
      <w:pPr>
        <w:pStyle w:val="Heading1"/>
        <w:spacing w:after="240"/>
        <w:rPr>
          <w:rFonts w:eastAsia="宋体"/>
          <w:lang w:eastAsia="zh-CN"/>
        </w:rPr>
      </w:pPr>
      <w:r>
        <w:rPr>
          <w:rFonts w:eastAsia="宋体" w:hint="eastAsia"/>
          <w:lang w:eastAsia="zh-CN"/>
        </w:rPr>
        <w:t>Discussion</w:t>
      </w:r>
    </w:p>
    <w:p w:rsidR="00AA2181" w:rsidRDefault="00AA2181" w:rsidP="00AA2181">
      <w:r>
        <w:t xml:space="preserve">Based on the discussion </w:t>
      </w:r>
      <w:r w:rsidR="00DA1E45">
        <w:t>in</w:t>
      </w:r>
      <w:r>
        <w:t xml:space="preserve"> RAN4#98b, TDM and FDM coexistence with Uu in a license band are supported for SL communication as following:</w:t>
      </w:r>
    </w:p>
    <w:p w:rsidR="00AA2181" w:rsidRPr="00AA2181" w:rsidRDefault="00AA2181" w:rsidP="00356946">
      <w:pPr>
        <w:pStyle w:val="ListParagraph"/>
        <w:numPr>
          <w:ilvl w:val="0"/>
          <w:numId w:val="46"/>
        </w:numPr>
        <w:ind w:firstLineChars="0"/>
        <w:rPr>
          <w:rFonts w:ascii="Times New Roman" w:eastAsia="MS Mincho" w:hAnsi="Times New Roman"/>
          <w:i/>
          <w:lang w:val="en-US"/>
        </w:rPr>
      </w:pPr>
      <w:r w:rsidRPr="00AA2181">
        <w:rPr>
          <w:rFonts w:ascii="Times New Roman" w:eastAsia="MS Mincho" w:hAnsi="Times New Roman"/>
          <w:i/>
          <w:lang w:val="en-US"/>
        </w:rPr>
        <w:t>1</w:t>
      </w:r>
      <w:r w:rsidRPr="00AA2181">
        <w:rPr>
          <w:rFonts w:ascii="Times New Roman" w:eastAsia="MS Mincho" w:hAnsi="Times New Roman"/>
          <w:i/>
          <w:sz w:val="13"/>
          <w:szCs w:val="13"/>
          <w:lang w:val="en-US"/>
        </w:rPr>
        <w:t xml:space="preserve">st </w:t>
      </w:r>
      <w:r w:rsidRPr="00AA2181">
        <w:rPr>
          <w:rFonts w:ascii="Times New Roman" w:eastAsia="MS Mincho" w:hAnsi="Times New Roman"/>
          <w:i/>
          <w:lang w:val="en-US"/>
        </w:rPr>
        <w:t>priority: TDM including both same carrier and different carriers (single RF chain for Tx)</w:t>
      </w:r>
    </w:p>
    <w:p w:rsidR="00AA2181" w:rsidRPr="00AA2181" w:rsidRDefault="00AA2181" w:rsidP="004A6F46">
      <w:pPr>
        <w:pStyle w:val="ListParagraph"/>
        <w:numPr>
          <w:ilvl w:val="0"/>
          <w:numId w:val="46"/>
        </w:numPr>
        <w:ind w:firstLineChars="0"/>
        <w:rPr>
          <w:rFonts w:ascii="Times New Roman" w:eastAsia="MS Mincho" w:hAnsi="Times New Roman"/>
          <w:i/>
          <w:lang w:val="en-US"/>
        </w:rPr>
      </w:pPr>
      <w:r w:rsidRPr="00AA2181">
        <w:rPr>
          <w:rFonts w:ascii="Times New Roman" w:eastAsia="MS Mincho" w:hAnsi="Times New Roman"/>
          <w:i/>
          <w:lang w:val="en-US"/>
        </w:rPr>
        <w:t>2</w:t>
      </w:r>
      <w:r w:rsidRPr="00AA2181">
        <w:rPr>
          <w:rFonts w:ascii="Times New Roman" w:eastAsia="MS Mincho" w:hAnsi="Times New Roman"/>
          <w:i/>
          <w:sz w:val="13"/>
          <w:szCs w:val="13"/>
          <w:lang w:val="en-US"/>
        </w:rPr>
        <w:t xml:space="preserve">nd </w:t>
      </w:r>
      <w:r w:rsidRPr="00AA2181">
        <w:rPr>
          <w:rFonts w:ascii="Times New Roman" w:eastAsia="MS Mincho" w:hAnsi="Times New Roman"/>
          <w:i/>
          <w:lang w:val="en-US"/>
        </w:rPr>
        <w:t>priority: FDM with adjacent carrier (separate RF chain)</w:t>
      </w:r>
    </w:p>
    <w:p w:rsidR="00AA2181" w:rsidRPr="00AA2181" w:rsidRDefault="00AA2181" w:rsidP="007D7642">
      <w:pPr>
        <w:pStyle w:val="ListParagraph"/>
        <w:numPr>
          <w:ilvl w:val="0"/>
          <w:numId w:val="46"/>
        </w:numPr>
        <w:ind w:firstLineChars="0"/>
        <w:rPr>
          <w:rFonts w:ascii="Times New Roman" w:eastAsia="MS Mincho" w:hAnsi="Times New Roman"/>
          <w:i/>
          <w:lang w:val="en-US"/>
        </w:rPr>
      </w:pPr>
      <w:r w:rsidRPr="00AA2181">
        <w:rPr>
          <w:rFonts w:ascii="Times New Roman" w:eastAsia="MS Mincho" w:hAnsi="Times New Roman"/>
          <w:i/>
          <w:lang w:val="en-US"/>
        </w:rPr>
        <w:t>3</w:t>
      </w:r>
      <w:r w:rsidRPr="00AA2181">
        <w:rPr>
          <w:rFonts w:ascii="Times New Roman" w:eastAsia="MS Mincho" w:hAnsi="Times New Roman"/>
          <w:i/>
          <w:sz w:val="13"/>
          <w:szCs w:val="13"/>
          <w:lang w:val="en-US"/>
        </w:rPr>
        <w:t xml:space="preserve">rd </w:t>
      </w:r>
      <w:r w:rsidRPr="00AA2181">
        <w:rPr>
          <w:rFonts w:ascii="Times New Roman" w:eastAsia="MS Mincho" w:hAnsi="Times New Roman"/>
          <w:i/>
          <w:lang w:val="en-US"/>
        </w:rPr>
        <w:t>priority: FDM with non-adjacent carrier (separate RF chain)</w:t>
      </w:r>
    </w:p>
    <w:p w:rsidR="00AA2181" w:rsidRPr="00AA2181" w:rsidRDefault="00AA2181" w:rsidP="00AA2181">
      <w:pPr>
        <w:pStyle w:val="ListParagraph"/>
        <w:numPr>
          <w:ilvl w:val="1"/>
          <w:numId w:val="47"/>
        </w:numPr>
        <w:ind w:firstLineChars="0"/>
        <w:rPr>
          <w:rFonts w:ascii="Times New Roman" w:eastAsia="MS Mincho" w:hAnsi="Times New Roman"/>
          <w:i/>
          <w:lang w:val="en-US"/>
        </w:rPr>
      </w:pPr>
      <w:r w:rsidRPr="00AA2181">
        <w:rPr>
          <w:rFonts w:ascii="Times New Roman" w:eastAsia="MS Mincho" w:hAnsi="Times New Roman"/>
          <w:i/>
          <w:lang w:val="en-US"/>
        </w:rPr>
        <w:t>Time mask for SL/Uu is FFS</w:t>
      </w:r>
    </w:p>
    <w:p w:rsidR="00AA2181" w:rsidRPr="00AA2181" w:rsidRDefault="00AA2181" w:rsidP="00AA2181">
      <w:pPr>
        <w:pStyle w:val="ListParagraph"/>
        <w:numPr>
          <w:ilvl w:val="1"/>
          <w:numId w:val="47"/>
        </w:numPr>
        <w:ind w:firstLineChars="0"/>
        <w:rPr>
          <w:rFonts w:ascii="Times New Roman" w:hAnsi="Times New Roman"/>
          <w:i/>
        </w:rPr>
      </w:pPr>
      <w:r w:rsidRPr="00AA2181">
        <w:rPr>
          <w:rFonts w:ascii="Times New Roman" w:eastAsia="MS Mincho" w:hAnsi="Times New Roman"/>
          <w:i/>
          <w:lang w:val="en-US"/>
        </w:rPr>
        <w:t>Synchronous operation between Uu and SL</w:t>
      </w:r>
    </w:p>
    <w:p w:rsidR="00AA2181" w:rsidRPr="00DF7373" w:rsidRDefault="00AA2181" w:rsidP="006040C1">
      <w:pPr>
        <w:pStyle w:val="ListParagraph"/>
        <w:numPr>
          <w:ilvl w:val="0"/>
          <w:numId w:val="46"/>
        </w:numPr>
        <w:ind w:firstLineChars="0"/>
        <w:rPr>
          <w:rFonts w:ascii="Times New Roman" w:hAnsi="Times New Roman"/>
          <w:i/>
        </w:rPr>
      </w:pPr>
      <w:r w:rsidRPr="00AA2181">
        <w:rPr>
          <w:rFonts w:ascii="Times New Roman" w:eastAsia="MS Mincho" w:hAnsi="Times New Roman"/>
          <w:i/>
          <w:lang w:val="en-US"/>
        </w:rPr>
        <w:t>Whether SL Transmission to be aligned with UL timing of Uu is FFS (different from Rel-16 RRM spec)</w:t>
      </w:r>
    </w:p>
    <w:p w:rsidR="00DF7373" w:rsidRPr="00AA2181" w:rsidRDefault="00DF7373" w:rsidP="00DF7373">
      <w:pPr>
        <w:pStyle w:val="ListParagraph"/>
        <w:ind w:left="420" w:firstLineChars="0" w:firstLine="0"/>
        <w:rPr>
          <w:rFonts w:ascii="Times New Roman" w:hAnsi="Times New Roman"/>
          <w:i/>
        </w:rPr>
      </w:pPr>
    </w:p>
    <w:p w:rsidR="00F720BD" w:rsidRDefault="00F720BD" w:rsidP="00F720BD">
      <w:pPr>
        <w:jc w:val="both"/>
        <w:rPr>
          <w:lang w:val="x-none"/>
        </w:rPr>
      </w:pPr>
      <w:r>
        <w:rPr>
          <w:lang w:val="x-none"/>
        </w:rPr>
        <w:t>It can be observed that the operation scenario is within license band which is different from Rel-16, thus the SL transmission timing defined in Rel-16 cannot be reused directly</w:t>
      </w:r>
      <w:r>
        <w:rPr>
          <w:rFonts w:hint="eastAsia"/>
          <w:lang w:val="x-none"/>
        </w:rPr>
        <w:t>.</w:t>
      </w:r>
      <w:r>
        <w:rPr>
          <w:lang w:val="x-none"/>
        </w:rPr>
        <w:t xml:space="preserve"> The SL transmission timing should be discussed case by case based on RAN1’s specification.</w:t>
      </w:r>
    </w:p>
    <w:p w:rsidR="00E9500C" w:rsidRPr="00B43F8C" w:rsidRDefault="00404BFF" w:rsidP="002E5115">
      <w:r>
        <w:rPr>
          <w:lang w:val="x-none"/>
        </w:rPr>
        <w:t xml:space="preserve">In Rel-12, license band is configured for D2D communication, which can be introduced as the baseline for NR-V2X in the license band. </w:t>
      </w:r>
      <w:r w:rsidR="00504576">
        <w:t>According the specification</w:t>
      </w:r>
      <w:r w:rsidR="00F83F98">
        <w:t xml:space="preserve"> of RAN1</w:t>
      </w:r>
      <w:r w:rsidR="00E9500C">
        <w:t>, the timing for side</w:t>
      </w:r>
      <w:r w:rsidR="007B0214">
        <w:t>link is defined as following [3</w:t>
      </w:r>
      <w:r>
        <w:t>6</w:t>
      </w:r>
      <w:r w:rsidR="00E9500C">
        <w:t xml:space="preserve">.211 </w:t>
      </w:r>
      <w:r>
        <w:t>f40</w:t>
      </w:r>
      <w:r w:rsidR="00E9500C">
        <w:t>]:</w:t>
      </w:r>
    </w:p>
    <w:tbl>
      <w:tblPr>
        <w:tblStyle w:val="TableGrid"/>
        <w:tblW w:w="0" w:type="auto"/>
        <w:tblLook w:val="04A0" w:firstRow="1" w:lastRow="0" w:firstColumn="1" w:lastColumn="0" w:noHBand="0" w:noVBand="1"/>
      </w:tblPr>
      <w:tblGrid>
        <w:gridCol w:w="9306"/>
      </w:tblGrid>
      <w:tr w:rsidR="00E9500C" w:rsidTr="00DF44A1">
        <w:tc>
          <w:tcPr>
            <w:tcW w:w="9306" w:type="dxa"/>
          </w:tcPr>
          <w:p w:rsidR="00CA77FF" w:rsidRPr="005E0144" w:rsidRDefault="00CA77FF" w:rsidP="00595F11">
            <w:pPr>
              <w:pStyle w:val="Heading2"/>
              <w:numPr>
                <w:ilvl w:val="0"/>
                <w:numId w:val="0"/>
              </w:numPr>
              <w:spacing w:after="240"/>
              <w:outlineLvl w:val="1"/>
            </w:pPr>
            <w:bookmarkStart w:id="3" w:name="_Toc454818155"/>
            <w:bookmarkStart w:id="4" w:name="_Toc58011241"/>
            <w:r w:rsidRPr="005E0144">
              <w:t>9.10</w:t>
            </w:r>
            <w:r w:rsidRPr="005E0144">
              <w:tab/>
              <w:t>Timing</w:t>
            </w:r>
            <w:bookmarkEnd w:id="3"/>
          </w:p>
          <w:p w:rsidR="00CA77FF" w:rsidRPr="005E0144" w:rsidRDefault="00CA77FF" w:rsidP="00CA77FF">
            <w:r w:rsidRPr="005E0144">
              <w:t xml:space="preserve">Transmission of a sidelink radio frame number </w:t>
            </w:r>
            <w:r w:rsidRPr="005E0144">
              <w:rPr>
                <w:position w:val="-6"/>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5pt;height:11.5pt" o:ole="">
                  <v:imagedata r:id="rId8" o:title=""/>
                </v:shape>
                <o:OLEObject Type="Embed" ProgID="Equation.3" ShapeID="_x0000_i1025" DrawAspect="Content" ObjectID="_1689810577" r:id="rId9"/>
              </w:object>
            </w:r>
            <w:r w:rsidRPr="005E0144">
              <w:t xml:space="preserve"> from the UE shall start </w:t>
            </w:r>
            <w:r w:rsidRPr="005E0144">
              <w:rPr>
                <w:position w:val="-12"/>
              </w:rPr>
              <w:object w:dxaOrig="1960" w:dyaOrig="320">
                <v:shape id="_x0000_i1026" type="#_x0000_t75" style="width:97.9pt;height:15.55pt" o:ole="">
                  <v:imagedata r:id="rId10" o:title=""/>
                </v:shape>
                <o:OLEObject Type="Embed" ProgID="Equation.3" ShapeID="_x0000_i1026" DrawAspect="Content" ObjectID="_1689810578" r:id="rId11"/>
              </w:object>
            </w:r>
            <w:r w:rsidRPr="005E0144">
              <w:t xml:space="preserve"> seconds before the start of the corresponding timing reference frame at the UE. The UE is not required to receive sidelink or downlink transmissions earlier than </w:t>
            </w:r>
            <w:r w:rsidRPr="005E0144">
              <w:rPr>
                <w:position w:val="-10"/>
              </w:rPr>
              <w:object w:dxaOrig="520" w:dyaOrig="300">
                <v:shape id="_x0000_i1027" type="#_x0000_t75" style="width:25.9pt;height:15pt" o:ole="">
                  <v:imagedata r:id="rId12" o:title=""/>
                </v:shape>
                <o:OLEObject Type="Embed" ProgID="Equation.3" ShapeID="_x0000_i1027" DrawAspect="Content" ObjectID="_1689810579" r:id="rId13"/>
              </w:object>
            </w:r>
            <w:r w:rsidRPr="005E0144">
              <w:t xml:space="preserve"> after the end of a sidelink transmission.</w:t>
            </w:r>
          </w:p>
          <w:p w:rsidR="00CA77FF" w:rsidRPr="005E0144" w:rsidRDefault="00CA77FF" w:rsidP="00CA77FF">
            <w:r w:rsidRPr="005E0144">
              <w:t>For PSDCH transmission and sidelink synchronization signal transmission for PSDCH:</w:t>
            </w:r>
          </w:p>
          <w:p w:rsidR="00CA77FF" w:rsidRPr="005E0144" w:rsidRDefault="00CA77FF" w:rsidP="00CA77FF">
            <w:r w:rsidRPr="005E0144">
              <w:lastRenderedPageBreak/>
              <w:t xml:space="preserve">if the UE has a serving cell fulfilling the S criterion according to [10, clause 5.2.3.2] </w:t>
            </w:r>
          </w:p>
          <w:p w:rsidR="00CA77FF" w:rsidRPr="005E0144" w:rsidRDefault="00CA77FF" w:rsidP="00CA77FF">
            <w:pPr>
              <w:pStyle w:val="B10"/>
            </w:pPr>
            <w:r w:rsidRPr="005E0144">
              <w:t>-</w:t>
            </w:r>
            <w:r w:rsidRPr="005E0144">
              <w:tab/>
              <w:t xml:space="preserve">the timing of reference radio frame </w:t>
            </w:r>
            <w:r w:rsidRPr="005E0144">
              <w:rPr>
                <w:position w:val="-6"/>
              </w:rPr>
              <w:object w:dxaOrig="139" w:dyaOrig="240">
                <v:shape id="_x0000_i1028" type="#_x0000_t75" style="width:6.35pt;height:11.5pt" o:ole="">
                  <v:imagedata r:id="rId8" o:title=""/>
                </v:shape>
                <o:OLEObject Type="Embed" ProgID="Equation.3" ShapeID="_x0000_i1028" DrawAspect="Content" ObjectID="_1689810580" r:id="rId14"/>
              </w:object>
            </w:r>
            <w:r w:rsidRPr="005E0144">
              <w:t xml:space="preserve"> equals that of downlink radio frame </w:t>
            </w:r>
            <w:r w:rsidRPr="005E0144">
              <w:rPr>
                <w:position w:val="-6"/>
              </w:rPr>
              <w:object w:dxaOrig="139" w:dyaOrig="240">
                <v:shape id="_x0000_i1029" type="#_x0000_t75" style="width:6.35pt;height:11.5pt" o:ole="">
                  <v:imagedata r:id="rId8" o:title=""/>
                </v:shape>
                <o:OLEObject Type="Embed" ProgID="Equation.3" ShapeID="_x0000_i1029" DrawAspect="Content" ObjectID="_1689810581" r:id="rId15"/>
              </w:object>
            </w:r>
            <w:r w:rsidRPr="005E0144">
              <w:t xml:space="preserve"> of the cell c as given in Subclause 14.3.1 of [4] and</w:t>
            </w:r>
          </w:p>
          <w:p w:rsidR="00CA77FF" w:rsidRPr="005E0144" w:rsidRDefault="00CA77FF" w:rsidP="00CA77FF">
            <w:pPr>
              <w:pStyle w:val="B10"/>
            </w:pPr>
            <w:r w:rsidRPr="005E0144">
              <w:t>-</w:t>
            </w:r>
            <w:r w:rsidRPr="005E0144">
              <w:tab/>
            </w:r>
            <w:r w:rsidRPr="005E0144">
              <w:object w:dxaOrig="760" w:dyaOrig="279">
                <v:shape id="_x0000_i1030" type="#_x0000_t75" style="width:38.6pt;height:14.4pt" o:ole="">
                  <v:imagedata r:id="rId16" o:title=""/>
                </v:shape>
                <o:OLEObject Type="Embed" ProgID="Equation.3" ShapeID="_x0000_i1030" DrawAspect="Content" ObjectID="_1689810582" r:id="rId17"/>
              </w:object>
            </w:r>
            <w:r w:rsidRPr="005E0144">
              <w:t xml:space="preserve"> is given by clause 8.1,</w:t>
            </w:r>
          </w:p>
          <w:p w:rsidR="00CA77FF" w:rsidRPr="005E0144" w:rsidRDefault="00CA77FF" w:rsidP="00CA77FF">
            <w:r w:rsidRPr="005E0144">
              <w:t xml:space="preserve">otherwise </w:t>
            </w:r>
          </w:p>
          <w:p w:rsidR="00CA77FF" w:rsidRPr="005E0144" w:rsidRDefault="00CA77FF" w:rsidP="00CA77FF">
            <w:pPr>
              <w:pStyle w:val="B10"/>
            </w:pPr>
            <w:r w:rsidRPr="005E0144">
              <w:t>-</w:t>
            </w:r>
            <w:r w:rsidRPr="005E0144">
              <w:tab/>
              <w:t xml:space="preserve">the timing of reference radio frame </w:t>
            </w:r>
            <w:r w:rsidRPr="005E0144">
              <w:object w:dxaOrig="139" w:dyaOrig="240">
                <v:shape id="_x0000_i1031" type="#_x0000_t75" style="width:6.35pt;height:11.5pt" o:ole="">
                  <v:imagedata r:id="rId8" o:title=""/>
                </v:shape>
                <o:OLEObject Type="Embed" ProgID="Equation.3" ShapeID="_x0000_i1031" DrawAspect="Content" ObjectID="_1689810583" r:id="rId18"/>
              </w:object>
            </w:r>
            <w:r w:rsidRPr="005E0144">
              <w:t xml:space="preserve"> is implicitly obtained from [4] and</w:t>
            </w:r>
          </w:p>
          <w:p w:rsidR="00CA77FF" w:rsidRPr="005E0144" w:rsidRDefault="00CA77FF" w:rsidP="00CA77FF">
            <w:pPr>
              <w:pStyle w:val="B10"/>
            </w:pPr>
            <w:r w:rsidRPr="005E0144">
              <w:t>-</w:t>
            </w:r>
            <w:r w:rsidRPr="005E0144">
              <w:tab/>
            </w:r>
            <w:r w:rsidRPr="005E0144">
              <w:rPr>
                <w:position w:val="-10"/>
              </w:rPr>
              <w:object w:dxaOrig="1080" w:dyaOrig="300">
                <v:shape id="_x0000_i1032" type="#_x0000_t75" style="width:54.15pt;height:15pt" o:ole="">
                  <v:imagedata r:id="rId19" o:title=""/>
                </v:shape>
                <o:OLEObject Type="Embed" ProgID="Equation.3" ShapeID="_x0000_i1032" DrawAspect="Content" ObjectID="_1689810584" r:id="rId20"/>
              </w:object>
            </w:r>
            <w:r w:rsidRPr="005E0144">
              <w:t>.</w:t>
            </w:r>
          </w:p>
          <w:p w:rsidR="00CA77FF" w:rsidRPr="005E0144" w:rsidRDefault="00CA77FF" w:rsidP="00CA77FF">
            <w:r w:rsidRPr="005E0144">
              <w:t>For all other sidelink transmissions:</w:t>
            </w:r>
          </w:p>
          <w:p w:rsidR="00CA77FF" w:rsidRPr="005E0144" w:rsidRDefault="00CA77FF" w:rsidP="00CA77FF">
            <w:r w:rsidRPr="005E0144">
              <w:t>if the UE has a serving cell fulfilling the S criterion according to [10, clause 5.2.3.2]</w:t>
            </w:r>
          </w:p>
          <w:p w:rsidR="00CA77FF" w:rsidRPr="005E0144" w:rsidRDefault="00CA77FF" w:rsidP="00CA77FF">
            <w:pPr>
              <w:pStyle w:val="B10"/>
            </w:pPr>
            <w:r w:rsidRPr="005E0144">
              <w:t>-</w:t>
            </w:r>
            <w:r w:rsidRPr="005E0144">
              <w:tab/>
              <w:t xml:space="preserve">the timing of reference radio frame </w:t>
            </w:r>
            <w:r w:rsidRPr="005E0144">
              <w:rPr>
                <w:position w:val="-6"/>
              </w:rPr>
              <w:object w:dxaOrig="139" w:dyaOrig="240">
                <v:shape id="_x0000_i1033" type="#_x0000_t75" style="width:6.35pt;height:11.5pt" o:ole="">
                  <v:imagedata r:id="rId8" o:title=""/>
                </v:shape>
                <o:OLEObject Type="Embed" ProgID="Equation.3" ShapeID="_x0000_i1033" DrawAspect="Content" ObjectID="_1689810585" r:id="rId21"/>
              </w:object>
            </w:r>
            <w:r w:rsidRPr="005E0144">
              <w:t xml:space="preserve"> equals that of downlink radio frame </w:t>
            </w:r>
            <w:r w:rsidRPr="005E0144">
              <w:rPr>
                <w:position w:val="-6"/>
              </w:rPr>
              <w:object w:dxaOrig="139" w:dyaOrig="240">
                <v:shape id="_x0000_i1034" type="#_x0000_t75" style="width:6.35pt;height:11.5pt" o:ole="">
                  <v:imagedata r:id="rId8" o:title=""/>
                </v:shape>
                <o:OLEObject Type="Embed" ProgID="Equation.3" ShapeID="_x0000_i1034" DrawAspect="Content" ObjectID="_1689810586" r:id="rId22"/>
              </w:object>
            </w:r>
            <w:r w:rsidRPr="005E0144">
              <w:t xml:space="preserve"> in the cell with the same uplink carrier frequency as the sidelink and</w:t>
            </w:r>
          </w:p>
          <w:p w:rsidR="00CA77FF" w:rsidRPr="005E0144" w:rsidRDefault="00CA77FF" w:rsidP="00CA77FF">
            <w:pPr>
              <w:pStyle w:val="B10"/>
            </w:pPr>
            <w:r w:rsidRPr="005E0144">
              <w:t>-</w:t>
            </w:r>
            <w:r w:rsidRPr="005E0144">
              <w:tab/>
            </w:r>
            <w:r w:rsidRPr="005E0144">
              <w:rPr>
                <w:position w:val="-10"/>
              </w:rPr>
              <w:object w:dxaOrig="760" w:dyaOrig="279">
                <v:shape id="_x0000_i1035" type="#_x0000_t75" style="width:38.6pt;height:14.4pt" o:ole="">
                  <v:imagedata r:id="rId16" o:title=""/>
                </v:shape>
                <o:OLEObject Type="Embed" ProgID="Equation.3" ShapeID="_x0000_i1035" DrawAspect="Content" ObjectID="_1689810587" r:id="rId23"/>
              </w:object>
            </w:r>
            <w:r w:rsidRPr="005E0144">
              <w:t xml:space="preserve"> is given by clause 8.1,</w:t>
            </w:r>
          </w:p>
          <w:p w:rsidR="00CA77FF" w:rsidRPr="005E0144" w:rsidRDefault="00CA77FF" w:rsidP="00CA77FF">
            <w:r w:rsidRPr="005E0144">
              <w:t xml:space="preserve">otherwise </w:t>
            </w:r>
          </w:p>
          <w:p w:rsidR="00CA77FF" w:rsidRPr="005E0144" w:rsidRDefault="00CA77FF" w:rsidP="00CA77FF">
            <w:pPr>
              <w:pStyle w:val="B10"/>
            </w:pPr>
            <w:r w:rsidRPr="005E0144">
              <w:t>-</w:t>
            </w:r>
            <w:r w:rsidRPr="005E0144">
              <w:tab/>
              <w:t xml:space="preserve">the timing of reference radio frame </w:t>
            </w:r>
            <w:r w:rsidRPr="005E0144">
              <w:rPr>
                <w:position w:val="-6"/>
              </w:rPr>
              <w:object w:dxaOrig="139" w:dyaOrig="240">
                <v:shape id="_x0000_i1036" type="#_x0000_t75" style="width:6.35pt;height:11.5pt" o:ole="">
                  <v:imagedata r:id="rId8" o:title=""/>
                </v:shape>
                <o:OLEObject Type="Embed" ProgID="Equation.3" ShapeID="_x0000_i1036" DrawAspect="Content" ObjectID="_1689810588" r:id="rId24"/>
              </w:object>
            </w:r>
            <w:r w:rsidRPr="005E0144">
              <w:t xml:space="preserve"> is implicitly obtained from [4] and</w:t>
            </w:r>
          </w:p>
          <w:p w:rsidR="00CA77FF" w:rsidRPr="005E0144" w:rsidRDefault="00CA77FF" w:rsidP="00CA77FF">
            <w:pPr>
              <w:pStyle w:val="B10"/>
            </w:pPr>
            <w:r w:rsidRPr="005E0144">
              <w:t>-</w:t>
            </w:r>
            <w:r w:rsidRPr="005E0144">
              <w:tab/>
            </w:r>
            <w:r w:rsidRPr="005E0144">
              <w:rPr>
                <w:position w:val="-10"/>
              </w:rPr>
              <w:object w:dxaOrig="1100" w:dyaOrig="300">
                <v:shape id="_x0000_i1037" type="#_x0000_t75" style="width:54.15pt;height:15pt" o:ole="">
                  <v:imagedata r:id="rId25" o:title=""/>
                </v:shape>
                <o:OLEObject Type="Embed" ProgID="Equation.3" ShapeID="_x0000_i1037" DrawAspect="Content" ObjectID="_1689810589" r:id="rId26"/>
              </w:object>
            </w:r>
            <w:r w:rsidRPr="005E0144">
              <w:t>.</w:t>
            </w:r>
          </w:p>
          <w:p w:rsidR="00CA77FF" w:rsidRPr="005E0144" w:rsidRDefault="00CA77FF" w:rsidP="00CA77FF"/>
          <w:p w:rsidR="00CA77FF" w:rsidRPr="005E0144" w:rsidRDefault="00CA77FF" w:rsidP="00CA77FF">
            <w:pPr>
              <w:pStyle w:val="TH"/>
            </w:pPr>
            <w:r w:rsidRPr="005E0144">
              <w:object w:dxaOrig="6744" w:dyaOrig="2214">
                <v:shape id="_x0000_i1038" type="#_x0000_t75" style="width:271.85pt;height:89.85pt" o:ole="">
                  <v:imagedata r:id="rId27" o:title=""/>
                </v:shape>
                <o:OLEObject Type="Embed" ProgID="Visio.Drawing.11" ShapeID="_x0000_i1038" DrawAspect="Content" ObjectID="_1689810590" r:id="rId28"/>
              </w:object>
            </w:r>
          </w:p>
          <w:p w:rsidR="00CA77FF" w:rsidRPr="005E0144" w:rsidRDefault="00CA77FF" w:rsidP="00CA77FF">
            <w:pPr>
              <w:pStyle w:val="TF"/>
            </w:pPr>
            <w:r w:rsidRPr="005E0144">
              <w:t>Figure 9.9-1: Sidelink timing relation.</w:t>
            </w:r>
          </w:p>
          <w:p w:rsidR="00CA77FF" w:rsidRPr="005E0144" w:rsidRDefault="00CA77FF" w:rsidP="00CA77FF">
            <w:r w:rsidRPr="005E0144">
              <w:t xml:space="preserve">The quantity </w:t>
            </w:r>
            <w:r w:rsidRPr="005E0144">
              <w:rPr>
                <w:position w:val="-12"/>
              </w:rPr>
              <w:object w:dxaOrig="620" w:dyaOrig="320">
                <v:shape id="_x0000_i1039" type="#_x0000_t75" style="width:31.1pt;height:15.55pt" o:ole="">
                  <v:imagedata r:id="rId29" o:title=""/>
                </v:shape>
                <o:OLEObject Type="Embed" ProgID="Equation.3" ShapeID="_x0000_i1039" DrawAspect="Content" ObjectID="_1689810591" r:id="rId30"/>
              </w:object>
            </w:r>
            <w:r w:rsidRPr="005E0144">
              <w:t xml:space="preserve"> differs between channels and signals according to</w:t>
            </w:r>
          </w:p>
          <w:p w:rsidR="00E9500C" w:rsidRPr="007B0214" w:rsidRDefault="00CA77FF" w:rsidP="00DF44A1">
            <w:pPr>
              <w:rPr>
                <w:lang w:eastAsia="en-US"/>
              </w:rPr>
            </w:pPr>
            <w:r w:rsidRPr="005E0144">
              <w:rPr>
                <w:rFonts w:ascii="Arial" w:eastAsia="Arial" w:hAnsi="Arial"/>
                <w:position w:val="-26"/>
                <w:sz w:val="32"/>
                <w:lang w:eastAsia="en-US"/>
              </w:rPr>
              <w:object w:dxaOrig="4940" w:dyaOrig="620">
                <v:shape id="_x0000_i1040" type="#_x0000_t75" style="width:247.1pt;height:31.1pt" o:ole="">
                  <v:imagedata r:id="rId31" o:title=""/>
                </v:shape>
                <o:OLEObject Type="Embed" ProgID="Equation.3" ShapeID="_x0000_i1040" DrawAspect="Content" ObjectID="_1689810592" r:id="rId32"/>
              </w:object>
            </w:r>
            <w:bookmarkEnd w:id="4"/>
          </w:p>
        </w:tc>
      </w:tr>
    </w:tbl>
    <w:p w:rsidR="00E9500C" w:rsidRDefault="00E9500C" w:rsidP="00E9500C"/>
    <w:p w:rsidR="00233A67" w:rsidRDefault="00F83F98" w:rsidP="004C132C">
      <w:pPr>
        <w:jc w:val="both"/>
      </w:pPr>
      <w:r>
        <w:rPr>
          <w:rFonts w:hint="eastAsia"/>
        </w:rPr>
        <w:t>B</w:t>
      </w:r>
      <w:r>
        <w:t xml:space="preserve">ased on the </w:t>
      </w:r>
      <w:r w:rsidR="002E5115">
        <w:t>design</w:t>
      </w:r>
      <w:r>
        <w:t xml:space="preserve"> of</w:t>
      </w:r>
      <w:r w:rsidR="00404BFF">
        <w:t xml:space="preserve"> Rel-14</w:t>
      </w:r>
      <w:r>
        <w:t xml:space="preserve">, </w:t>
      </w:r>
      <w:r w:rsidR="00C47591">
        <w:t xml:space="preserve">the sidelink transmission timing has a forward timing offset, i.e., </w:t>
      </w:r>
      <m:oMath>
        <m:r>
          <m:rPr>
            <m:sty m:val="p"/>
          </m:rPr>
          <w:rPr>
            <w:rFonts w:ascii="Cambria Math" w:hAnsi="Cambria Math"/>
            <w:lang w:val="en-US"/>
          </w:rPr>
          <m:t>(</m:t>
        </m:r>
        <m:sSub>
          <m:sSubPr>
            <m:ctrlPr>
              <w:rPr>
                <w:rFonts w:ascii="Cambria Math" w:hAnsi="Cambria Math"/>
                <w:lang w:eastAsia="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eastAsia="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eastAsia="en-US"/>
              </w:rPr>
            </m:ctrlPr>
          </m:sSubPr>
          <m:e>
            <m:r>
              <w:rPr>
                <w:rFonts w:ascii="Cambria Math" w:hAnsi="Cambria Math"/>
                <w:lang w:val="en-US"/>
              </w:rPr>
              <m:t>T</m:t>
            </m:r>
          </m:e>
          <m:sub>
            <m:r>
              <m:rPr>
                <m:sty m:val="p"/>
              </m:rPr>
              <w:rPr>
                <w:rFonts w:ascii="Cambria Math" w:hAnsi="Cambria Math"/>
                <w:lang w:val="en-US"/>
              </w:rPr>
              <m:t>s</m:t>
            </m:r>
          </m:sub>
        </m:sSub>
      </m:oMath>
      <w:r w:rsidR="00404BFF">
        <w:rPr>
          <w:rFonts w:hint="eastAsia"/>
        </w:rPr>
        <w:t xml:space="preserve"> </w:t>
      </w:r>
      <w:r w:rsidR="00404BFF">
        <w:t>for PSSCH in mode1</w:t>
      </w:r>
      <w:r w:rsidR="00C47591">
        <w:t>,</w:t>
      </w:r>
      <w:r w:rsidR="00C47591">
        <w:rPr>
          <w:lang w:val="en-US"/>
        </w:rPr>
        <w:t xml:space="preserve"> to the timi</w:t>
      </w:r>
      <w:r w:rsidR="00DA1E45">
        <w:rPr>
          <w:lang w:val="en-US"/>
        </w:rPr>
        <w:t>ng reference radio frame, where</w:t>
      </w:r>
      <m:oMath>
        <m:sSub>
          <m:sSubPr>
            <m:ctrlPr>
              <w:rPr>
                <w:rFonts w:ascii="Cambria Math" w:hAnsi="Cambria Math"/>
                <w:lang w:eastAsia="en-US"/>
              </w:rPr>
            </m:ctrlPr>
          </m:sSubPr>
          <m:e>
            <m:r>
              <w:rPr>
                <w:rFonts w:ascii="Cambria Math" w:hAnsi="Cambria Math"/>
                <w:lang w:val="en-US"/>
              </w:rPr>
              <m:t xml:space="preserve"> N</m:t>
            </m:r>
          </m:e>
          <m:sub>
            <m:r>
              <m:rPr>
                <m:sty m:val="p"/>
              </m:rPr>
              <w:rPr>
                <w:rFonts w:ascii="Cambria Math" w:hAnsi="Cambria Math"/>
                <w:lang w:val="en-US"/>
              </w:rPr>
              <m:t>TA,SL</m:t>
            </m:r>
          </m:sub>
        </m:sSub>
        <m:r>
          <w:rPr>
            <w:rFonts w:ascii="Cambria Math" w:hAnsi="Cambria Math"/>
            <w:lang w:eastAsia="en-US"/>
          </w:rPr>
          <m:t>=</m:t>
        </m:r>
        <m:sSub>
          <m:sSubPr>
            <m:ctrlPr>
              <w:rPr>
                <w:rFonts w:ascii="Cambria Math" w:hAnsi="Cambria Math"/>
                <w:lang w:eastAsia="en-US"/>
              </w:rPr>
            </m:ctrlPr>
          </m:sSubPr>
          <m:e>
            <m:r>
              <w:rPr>
                <w:rFonts w:ascii="Cambria Math" w:hAnsi="Cambria Math"/>
                <w:lang w:val="en-US"/>
              </w:rPr>
              <m:t>N</m:t>
            </m:r>
          </m:e>
          <m:sub>
            <m:r>
              <m:rPr>
                <m:sty m:val="p"/>
              </m:rPr>
              <w:rPr>
                <w:rFonts w:ascii="Cambria Math" w:hAnsi="Cambria Math"/>
                <w:lang w:val="en-US"/>
              </w:rPr>
              <m:t>TA</m:t>
            </m:r>
          </m:sub>
        </m:sSub>
      </m:oMath>
      <w:r w:rsidR="00C47591">
        <w:rPr>
          <w:rFonts w:hint="eastAsia"/>
        </w:rPr>
        <w:t>.</w:t>
      </w:r>
      <w:r w:rsidR="00C47591">
        <w:t xml:space="preserve"> Depending on the UE</w:t>
      </w:r>
      <w:r w:rsidR="00F720BD">
        <w:t>’s</w:t>
      </w:r>
      <w:r w:rsidR="00C47591">
        <w:t xml:space="preserve"> state, there are two definition</w:t>
      </w:r>
      <w:r w:rsidR="00564291">
        <w:t>s</w:t>
      </w:r>
      <w:r w:rsidR="00C47591">
        <w:t xml:space="preserve"> for the </w:t>
      </w:r>
      <w:r w:rsidR="00C47591">
        <w:rPr>
          <w:lang w:val="en-US"/>
        </w:rPr>
        <w:t xml:space="preserve">timing reference radio frame and the </w:t>
      </w:r>
      <m:oMath>
        <m:sSub>
          <m:sSubPr>
            <m:ctrlPr>
              <w:rPr>
                <w:rFonts w:ascii="Cambria Math" w:hAnsi="Cambria Math"/>
                <w:lang w:eastAsia="en-US"/>
              </w:rPr>
            </m:ctrlPr>
          </m:sSubPr>
          <m:e>
            <m:r>
              <w:rPr>
                <w:rFonts w:ascii="Cambria Math" w:hAnsi="Cambria Math"/>
                <w:lang w:val="en-US"/>
              </w:rPr>
              <m:t>N</m:t>
            </m:r>
          </m:e>
          <m:sub>
            <m:r>
              <m:rPr>
                <m:sty m:val="p"/>
              </m:rPr>
              <w:rPr>
                <w:rFonts w:ascii="Cambria Math" w:hAnsi="Cambria Math"/>
                <w:lang w:val="en-US"/>
              </w:rPr>
              <m:t>TA,offset</m:t>
            </m:r>
          </m:sub>
        </m:sSub>
      </m:oMath>
      <w:r w:rsidR="00C47591">
        <w:rPr>
          <w:rFonts w:hint="eastAsia"/>
        </w:rPr>
        <w:t>.</w:t>
      </w:r>
      <w:r w:rsidR="00C47591">
        <w:t xml:space="preserve"> </w:t>
      </w:r>
      <w:r w:rsidR="00504576">
        <w:t xml:space="preserve">When </w:t>
      </w:r>
      <w:r w:rsidR="00C47591">
        <w:t xml:space="preserve">a UE has a </w:t>
      </w:r>
      <w:r w:rsidR="00DA1E45">
        <w:rPr>
          <w:lang w:val="en-US"/>
        </w:rPr>
        <w:t>serving cell which</w:t>
      </w:r>
      <w:r w:rsidR="00C47591">
        <w:rPr>
          <w:lang w:val="en-US"/>
        </w:rPr>
        <w:t xml:space="preserve"> fulfill</w:t>
      </w:r>
      <w:r w:rsidR="00DA1E45">
        <w:rPr>
          <w:lang w:val="en-US"/>
        </w:rPr>
        <w:t>s</w:t>
      </w:r>
      <w:r w:rsidR="00C47591">
        <w:rPr>
          <w:lang w:val="en-US"/>
        </w:rPr>
        <w:t xml:space="preserve"> the cell selection c</w:t>
      </w:r>
      <w:r w:rsidR="003A59FE">
        <w:rPr>
          <w:lang w:val="en-US"/>
        </w:rPr>
        <w:t>riterion S defined in TS</w:t>
      </w:r>
      <w:r w:rsidR="00DA1E45">
        <w:rPr>
          <w:lang w:val="en-US"/>
        </w:rPr>
        <w:t xml:space="preserve"> </w:t>
      </w:r>
      <w:r w:rsidR="003A59FE">
        <w:rPr>
          <w:lang w:val="en-US"/>
        </w:rPr>
        <w:t xml:space="preserve">38.304, and </w:t>
      </w:r>
      <w:r w:rsidR="00732F61">
        <w:t>SL and Uu operate in the same carrier</w:t>
      </w:r>
      <w:r w:rsidR="00404BFF">
        <w:t xml:space="preserve"> within the scheduling of gNB</w:t>
      </w:r>
      <w:r w:rsidR="00732F61">
        <w:t xml:space="preserve">, the uplink </w:t>
      </w:r>
      <w:r w:rsidR="00AA2181">
        <w:t xml:space="preserve">transmission </w:t>
      </w:r>
      <w:r w:rsidR="00732F61">
        <w:t xml:space="preserve">timing is used as the sidelink transmission timing. </w:t>
      </w:r>
      <w:r w:rsidR="00AA2181">
        <w:t>Otherwise, the downlink receiving timing is used as the sidelink transmission timing.</w:t>
      </w:r>
    </w:p>
    <w:p w:rsidR="009F4E34" w:rsidRPr="009F4E34" w:rsidRDefault="009F4E34" w:rsidP="004C132C">
      <w:pPr>
        <w:jc w:val="both"/>
        <w:rPr>
          <w:b/>
          <w:i/>
        </w:rPr>
      </w:pPr>
      <w:r w:rsidRPr="009F4E34">
        <w:rPr>
          <w:b/>
          <w:i/>
        </w:rPr>
        <w:t xml:space="preserve">Observation 1: </w:t>
      </w:r>
      <w:r>
        <w:rPr>
          <w:b/>
          <w:i/>
        </w:rPr>
        <w:t>SL transmission timing is aligned with UL timing is supported for LTE D2D, which could be a reference for NR SL to avoid interference between SL and Uu in licensed bands.</w:t>
      </w:r>
    </w:p>
    <w:p w:rsidR="00233A67" w:rsidRPr="00C75321" w:rsidRDefault="00233A67" w:rsidP="00233A67">
      <w:pPr>
        <w:jc w:val="both"/>
        <w:rPr>
          <w:rFonts w:eastAsia="MS Mincho"/>
          <w:lang w:val="en-US"/>
        </w:rPr>
      </w:pPr>
      <w:r>
        <w:t>Considering the propagation delay in cellular network, the gNB signals a timing offset between downlink reception timing and uplink timing, which is comprised of approximately TA/2 for downlink propagation time, and TA/2 forward offset for uplink propagation time. When sidelink and uplink are TDM</w:t>
      </w:r>
      <w:r w:rsidR="00124195">
        <w:t xml:space="preserve"> co-existence</w:t>
      </w:r>
      <w:r>
        <w:t xml:space="preserve"> in the same carrier</w:t>
      </w:r>
      <w:r w:rsidR="00124195">
        <w:t xml:space="preserve"> or different carrier</w:t>
      </w:r>
      <w:r w:rsidR="00AA2181">
        <w:t>s</w:t>
      </w:r>
      <w:r w:rsidR="00124195">
        <w:t>, there is only one RF chain shared by Uu and sidelink</w:t>
      </w:r>
      <w:r>
        <w:t>. As shown in</w:t>
      </w:r>
      <w:r w:rsidR="00AA2181">
        <w:t xml:space="preserve"> </w:t>
      </w:r>
      <w:r w:rsidR="00AA2181">
        <w:fldChar w:fldCharType="begin"/>
      </w:r>
      <w:r w:rsidR="00AA2181">
        <w:instrText xml:space="preserve"> REF _Ref71531870 \h </w:instrText>
      </w:r>
      <w:r w:rsidR="00AA2181">
        <w:fldChar w:fldCharType="separate"/>
      </w:r>
      <w:r w:rsidR="00AA2181">
        <w:t xml:space="preserve">Figure </w:t>
      </w:r>
      <w:r w:rsidR="00AA2181">
        <w:rPr>
          <w:noProof/>
        </w:rPr>
        <w:t>1</w:t>
      </w:r>
      <w:r w:rsidR="00AA2181">
        <w:fldChar w:fldCharType="end"/>
      </w:r>
      <w:r>
        <w:t xml:space="preserve">, if sidelink timing is aligned with downlink timing, after an uplink slot, there is a time gap, length of TA, wasted in SL slot. When there is an uplink slot after a </w:t>
      </w:r>
      <w:r>
        <w:lastRenderedPageBreak/>
        <w:t>sidelink slot, there are several symbols should be cut to avoid interferen</w:t>
      </w:r>
      <w:r w:rsidR="00EE5E3D">
        <w:t>ce to uplink. Thus, according to</w:t>
      </w:r>
      <w:r>
        <w:t xml:space="preserve"> the specification of RAN1</w:t>
      </w:r>
      <w:r w:rsidR="00EE5E3D">
        <w:t xml:space="preserve"> for D2D application in licensed band</w:t>
      </w:r>
      <w:r>
        <w:t xml:space="preserve">, </w:t>
      </w:r>
      <w:r w:rsidR="00EE5E3D">
        <w:rPr>
          <w:rFonts w:eastAsia="MS Mincho"/>
          <w:lang w:val="en-US"/>
        </w:rPr>
        <w:t>SL transmission timing could</w:t>
      </w:r>
      <w:r>
        <w:rPr>
          <w:rFonts w:eastAsia="MS Mincho"/>
          <w:lang w:val="en-US"/>
        </w:rPr>
        <w:t xml:space="preserve"> be aligned with UL transmission timing based on RAN1 specification.</w:t>
      </w:r>
      <w:r w:rsidR="00F720BD">
        <w:rPr>
          <w:rFonts w:eastAsia="MS Mincho"/>
          <w:lang w:val="en-US"/>
        </w:rPr>
        <w:t xml:space="preserve"> However, as </w:t>
      </w:r>
      <w:r w:rsidR="004C6F0A">
        <w:rPr>
          <w:rFonts w:eastAsia="MS Mincho"/>
          <w:lang w:val="en-US"/>
        </w:rPr>
        <w:t>some</w:t>
      </w:r>
      <w:r w:rsidR="00F720BD">
        <w:rPr>
          <w:rFonts w:eastAsia="MS Mincho"/>
          <w:lang w:val="en-US"/>
        </w:rPr>
        <w:t xml:space="preserve"> comments from companies,</w:t>
      </w:r>
      <w:r w:rsidR="004C6F0A">
        <w:rPr>
          <w:rFonts w:eastAsia="MS Mincho"/>
          <w:lang w:val="en-US"/>
        </w:rPr>
        <w:t xml:space="preserve"> “</w:t>
      </w:r>
      <w:r w:rsidR="00F720BD">
        <w:rPr>
          <w:rFonts w:eastAsia="MS Mincho"/>
          <w:lang w:val="en-US"/>
        </w:rPr>
        <w:t>t</w:t>
      </w:r>
      <w:r w:rsidR="00F720BD" w:rsidRPr="00F720BD">
        <w:rPr>
          <w:rFonts w:eastAsia="MS Mincho"/>
          <w:lang w:val="en-US"/>
        </w:rPr>
        <w:t>he SL UE is in RRC_IDLE it is not connected to the network and does not have timing advance information</w:t>
      </w:r>
      <w:r w:rsidR="004C6F0A">
        <w:rPr>
          <w:rFonts w:eastAsia="MS Mincho"/>
          <w:lang w:val="en-US"/>
        </w:rPr>
        <w:t xml:space="preserve">”, it is reasonable to assume that all UEs in coverage </w:t>
      </w:r>
      <w:r w:rsidR="00FA223B">
        <w:rPr>
          <w:rFonts w:eastAsia="MS Mincho"/>
          <w:lang w:val="en-US"/>
        </w:rPr>
        <w:t>only</w:t>
      </w:r>
      <w:r w:rsidR="004C6F0A">
        <w:rPr>
          <w:rFonts w:eastAsia="MS Mincho"/>
          <w:lang w:val="en-US"/>
        </w:rPr>
        <w:t xml:space="preserve"> transmit signal in license band based on the grant from gNB</w:t>
      </w:r>
      <w:r w:rsidR="00FA223B" w:rsidRPr="00FA223B">
        <w:rPr>
          <w:rFonts w:eastAsia="MS Mincho"/>
          <w:lang w:val="en-US"/>
        </w:rPr>
        <w:t xml:space="preserve">, which means that a UE should be </w:t>
      </w:r>
      <w:r w:rsidR="00EE5E3D">
        <w:rPr>
          <w:rFonts w:eastAsia="MS Mincho"/>
          <w:lang w:val="en-US"/>
        </w:rPr>
        <w:t>in RRC connective state before S</w:t>
      </w:r>
      <w:r w:rsidR="00FA223B" w:rsidRPr="00FA223B">
        <w:rPr>
          <w:rFonts w:eastAsia="MS Mincho"/>
          <w:lang w:val="en-US"/>
        </w:rPr>
        <w:t>R/BSR is reported to gNB for resouce requirement</w:t>
      </w:r>
      <w:r w:rsidR="004C6F0A">
        <w:rPr>
          <w:rFonts w:eastAsia="MS Mincho"/>
          <w:lang w:val="en-US"/>
        </w:rPr>
        <w:t xml:space="preserve">. With the above assumption, </w:t>
      </w:r>
      <w:r w:rsidR="004C6F0A" w:rsidRPr="004C6F0A">
        <w:rPr>
          <w:rFonts w:eastAsia="MS Mincho"/>
          <w:lang w:val="en-US"/>
        </w:rPr>
        <w:t>there is no case in which the UE in the RRC_IDLE state sends the SL signal on the licensed frequency band</w:t>
      </w:r>
      <w:r w:rsidR="00FA223B">
        <w:rPr>
          <w:rFonts w:eastAsia="MS Mincho"/>
          <w:lang w:val="en-US"/>
        </w:rPr>
        <w:t xml:space="preserve"> </w:t>
      </w:r>
      <w:r w:rsidR="00FA223B" w:rsidRPr="00FA223B">
        <w:rPr>
          <w:rFonts w:eastAsia="MS Mincho"/>
          <w:lang w:val="en-US"/>
        </w:rPr>
        <w:t>without gNB grant</w:t>
      </w:r>
      <w:r w:rsidR="004C6F0A">
        <w:rPr>
          <w:rFonts w:eastAsia="MS Mincho"/>
          <w:lang w:val="en-US"/>
        </w:rPr>
        <w:t>.</w:t>
      </w:r>
    </w:p>
    <w:p w:rsidR="00145332" w:rsidRDefault="00AF22CB" w:rsidP="00145332">
      <w:pPr>
        <w:jc w:val="both"/>
      </w:pPr>
      <w:r>
        <w:t>W</w:t>
      </w:r>
      <w:r w:rsidR="00233A67">
        <w:t xml:space="preserve">hen sidelink and uplink are </w:t>
      </w:r>
      <w:r>
        <w:t>TDMed/</w:t>
      </w:r>
      <w:r w:rsidR="00233A67">
        <w:t>FDM</w:t>
      </w:r>
      <w:r>
        <w:t>ed</w:t>
      </w:r>
      <w:r w:rsidR="000133DD">
        <w:t xml:space="preserve"> with adjacent</w:t>
      </w:r>
      <w:r w:rsidR="00233A67">
        <w:t xml:space="preserve"> carrier</w:t>
      </w:r>
      <w:r w:rsidR="000133DD">
        <w:t>s</w:t>
      </w:r>
      <w:r w:rsidR="00233A67">
        <w:t xml:space="preserve">, there </w:t>
      </w:r>
      <w:r w:rsidR="000133DD">
        <w:t>would</w:t>
      </w:r>
      <w:r w:rsidR="00233A67">
        <w:t xml:space="preserve"> be a guard band in fre</w:t>
      </w:r>
      <w:r>
        <w:t>quency domain between uplink carrier</w:t>
      </w:r>
      <w:r w:rsidR="00233A67">
        <w:t xml:space="preserve"> and sidelink</w:t>
      </w:r>
      <w:r>
        <w:t xml:space="preserve"> carrier</w:t>
      </w:r>
      <w:r w:rsidR="00233A67">
        <w:t xml:space="preserve"> to avoid the interference between each other.</w:t>
      </w:r>
      <w:r w:rsidR="000133DD">
        <w:t xml:space="preserve"> </w:t>
      </w:r>
      <w:r>
        <w:t>For the scenario with less interference, downlink timing could be utilized</w:t>
      </w:r>
      <w:r w:rsidR="00145332">
        <w:t xml:space="preserve">. The reasons are as follows. Firstly, for configured grant, especially for mode 1 CG Type 1 and Type 2, only limited DCI or static configuration will be provided to sidelink UE from downlink. Even for the idle UE can work with these configured information. At this case, if uplink timing is used, the sidelink UE have to stop RRC connection from time to time to derive the uplink timing. It will be undesirable to waste power and frequent connection with gNB without any benefits. Secondly, for mode 2, aligned with downlink timing would make sense since UE receive only system information or UE common RRC message from gNB. Therefore, </w:t>
      </w:r>
      <w:r>
        <w:t xml:space="preserve">in the scenario with less interference, </w:t>
      </w:r>
      <w:r w:rsidR="00145332">
        <w:t>downlink timing is more preferable for the dedicated carrier.</w:t>
      </w:r>
    </w:p>
    <w:p w:rsidR="00145332" w:rsidRPr="00145332" w:rsidRDefault="006A08E5" w:rsidP="00145332">
      <w:pPr>
        <w:jc w:val="both"/>
        <w:rPr>
          <w:b/>
          <w:i/>
        </w:rPr>
      </w:pPr>
      <w:bookmarkStart w:id="5" w:name="OLE_LINK4"/>
      <w:r>
        <w:rPr>
          <w:b/>
          <w:i/>
        </w:rPr>
        <w:t>Proposal 1</w:t>
      </w:r>
      <w:r w:rsidR="00145332" w:rsidRPr="00145332">
        <w:rPr>
          <w:b/>
          <w:i/>
        </w:rPr>
        <w:t xml:space="preserve">: For sidelink transmissions, </w:t>
      </w:r>
    </w:p>
    <w:p w:rsidR="00145332" w:rsidRPr="00145332" w:rsidRDefault="00145332" w:rsidP="00145332">
      <w:pPr>
        <w:jc w:val="both"/>
        <w:rPr>
          <w:b/>
          <w:i/>
        </w:rPr>
      </w:pPr>
      <w:r w:rsidRPr="00145332">
        <w:rPr>
          <w:b/>
          <w:i/>
        </w:rPr>
        <w:t>-</w:t>
      </w:r>
      <w:r w:rsidRPr="00145332">
        <w:rPr>
          <w:b/>
          <w:i/>
        </w:rPr>
        <w:tab/>
      </w:r>
      <w:r w:rsidR="000133DD">
        <w:rPr>
          <w:b/>
          <w:i/>
        </w:rPr>
        <w:t>SL transmission timing</w:t>
      </w:r>
      <w:r w:rsidR="000133DD" w:rsidRPr="00145332">
        <w:rPr>
          <w:b/>
          <w:i/>
        </w:rPr>
        <w:t xml:space="preserve"> </w:t>
      </w:r>
      <w:r w:rsidR="000133DD">
        <w:rPr>
          <w:b/>
          <w:i/>
        </w:rPr>
        <w:t xml:space="preserve">is aligned with </w:t>
      </w:r>
      <w:r w:rsidRPr="00145332">
        <w:rPr>
          <w:b/>
          <w:i/>
        </w:rPr>
        <w:t>Uplink timing whe</w:t>
      </w:r>
      <w:r w:rsidR="000133DD">
        <w:rPr>
          <w:b/>
          <w:i/>
        </w:rPr>
        <w:t>n Uu and sidelink is TDMed</w:t>
      </w:r>
      <w:r w:rsidR="00AF22CB">
        <w:rPr>
          <w:b/>
          <w:i/>
        </w:rPr>
        <w:t>/FDMed</w:t>
      </w:r>
      <w:r w:rsidR="000133DD">
        <w:rPr>
          <w:b/>
          <w:i/>
        </w:rPr>
        <w:t xml:space="preserve"> coexistence in the same band, </w:t>
      </w:r>
      <w:r w:rsidR="00AF22CB">
        <w:rPr>
          <w:b/>
          <w:i/>
        </w:rPr>
        <w:t>especially for the same carrier scenario</w:t>
      </w:r>
      <w:r w:rsidR="000133DD">
        <w:rPr>
          <w:b/>
          <w:i/>
        </w:rPr>
        <w:t>.</w:t>
      </w:r>
    </w:p>
    <w:bookmarkEnd w:id="5"/>
    <w:p w:rsidR="00AA2181" w:rsidRDefault="00233A67" w:rsidP="00AA2181">
      <w:pPr>
        <w:keepNext/>
        <w:jc w:val="center"/>
      </w:pPr>
      <w:r>
        <w:rPr>
          <w:noProof/>
          <w:lang w:val="en-US"/>
        </w:rPr>
        <w:drawing>
          <wp:inline distT="0" distB="0" distL="0" distR="0" wp14:anchorId="1425105A" wp14:editId="776389D7">
            <wp:extent cx="4655820" cy="2513965"/>
            <wp:effectExtent l="0" t="0" r="0" b="635"/>
            <wp:docPr id="2" name="图片 2" descr="C:\Users\g00443958\AppData\Roaming\eSpace_Desktop\UserData\g00443958\imagefiles\BAB08F73-6C2C-475F-800C-5B6AC14CFC0C.png"/>
            <wp:cNvGraphicFramePr/>
            <a:graphic xmlns:a="http://schemas.openxmlformats.org/drawingml/2006/main">
              <a:graphicData uri="http://schemas.openxmlformats.org/drawingml/2006/picture">
                <pic:pic xmlns:pic="http://schemas.openxmlformats.org/drawingml/2006/picture">
                  <pic:nvPicPr>
                    <pic:cNvPr id="2" name="图片 2" descr="C:\Users\g00443958\AppData\Roaming\eSpace_Desktop\UserData\g00443958\imagefiles\BAB08F73-6C2C-475F-800C-5B6AC14CFC0C.png"/>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55820" cy="2513965"/>
                    </a:xfrm>
                    <a:prstGeom prst="rect">
                      <a:avLst/>
                    </a:prstGeom>
                    <a:noFill/>
                    <a:ln>
                      <a:noFill/>
                    </a:ln>
                  </pic:spPr>
                </pic:pic>
              </a:graphicData>
            </a:graphic>
          </wp:inline>
        </w:drawing>
      </w:r>
    </w:p>
    <w:p w:rsidR="0076451F" w:rsidRDefault="00AA2181" w:rsidP="00AA2181">
      <w:pPr>
        <w:pStyle w:val="Caption"/>
        <w:jc w:val="center"/>
      </w:pPr>
      <w:bookmarkStart w:id="6" w:name="_Ref71531870"/>
      <w:r>
        <w:t xml:space="preserve">Figure </w:t>
      </w:r>
      <w:r>
        <w:fldChar w:fldCharType="begin"/>
      </w:r>
      <w:r>
        <w:instrText xml:space="preserve"> SEQ Figure \* ARABIC </w:instrText>
      </w:r>
      <w:r>
        <w:fldChar w:fldCharType="separate"/>
      </w:r>
      <w:r>
        <w:rPr>
          <w:noProof/>
        </w:rPr>
        <w:t>1</w:t>
      </w:r>
      <w:r>
        <w:fldChar w:fldCharType="end"/>
      </w:r>
      <w:bookmarkEnd w:id="6"/>
      <w:r>
        <w:t xml:space="preserve"> SL timing relationship</w:t>
      </w:r>
    </w:p>
    <w:p w:rsidR="00E9500C" w:rsidRPr="00E9500C" w:rsidRDefault="00E9500C" w:rsidP="00E9500C">
      <w:pPr>
        <w:jc w:val="both"/>
      </w:pP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5E4153">
        <w:t xml:space="preserve">further consideration for SL timing alignment issue. </w:t>
      </w:r>
    </w:p>
    <w:p w:rsidR="009F4E34" w:rsidRPr="009F4E34" w:rsidRDefault="009F4E34" w:rsidP="009F4E34">
      <w:pPr>
        <w:jc w:val="both"/>
        <w:rPr>
          <w:b/>
          <w:i/>
        </w:rPr>
      </w:pPr>
      <w:r w:rsidRPr="009F4E34">
        <w:rPr>
          <w:b/>
          <w:i/>
        </w:rPr>
        <w:t xml:space="preserve">Observation 1: </w:t>
      </w:r>
      <w:r>
        <w:rPr>
          <w:b/>
          <w:i/>
        </w:rPr>
        <w:t>SL transmission timing is aligned with UL timing is supported for LTE D2D, which could be a reference for NR SL to avoid interference between SL and Uu in licensed bands.</w:t>
      </w:r>
    </w:p>
    <w:p w:rsidR="00AF22CB" w:rsidRPr="00145332" w:rsidRDefault="00AF22CB" w:rsidP="00AF22CB">
      <w:pPr>
        <w:jc w:val="both"/>
        <w:rPr>
          <w:b/>
          <w:i/>
        </w:rPr>
      </w:pPr>
      <w:r>
        <w:rPr>
          <w:b/>
          <w:i/>
        </w:rPr>
        <w:t>Proposal 1</w:t>
      </w:r>
      <w:r w:rsidRPr="00145332">
        <w:rPr>
          <w:b/>
          <w:i/>
        </w:rPr>
        <w:t xml:space="preserve">: For sidelink transmissions, </w:t>
      </w:r>
      <w:r>
        <w:rPr>
          <w:b/>
          <w:i/>
        </w:rPr>
        <w:t>SL transmission timing</w:t>
      </w:r>
      <w:r w:rsidRPr="00145332">
        <w:rPr>
          <w:b/>
          <w:i/>
        </w:rPr>
        <w:t xml:space="preserve"> </w:t>
      </w:r>
      <w:r w:rsidR="009F4E34">
        <w:rPr>
          <w:b/>
          <w:i/>
        </w:rPr>
        <w:t>should be</w:t>
      </w:r>
      <w:r>
        <w:rPr>
          <w:b/>
          <w:i/>
        </w:rPr>
        <w:t xml:space="preserve"> aligned with </w:t>
      </w:r>
      <w:r w:rsidRPr="00145332">
        <w:rPr>
          <w:b/>
          <w:i/>
        </w:rPr>
        <w:t>Uplink timing whe</w:t>
      </w:r>
      <w:r>
        <w:rPr>
          <w:b/>
          <w:i/>
        </w:rPr>
        <w:t>n Uu and sidelink is TDMed/FDMed coexistence in the same band, especially for the same carrier scenario.</w:t>
      </w:r>
    </w:p>
    <w:p w:rsidR="00B22DA6" w:rsidRDefault="00B22DA6" w:rsidP="00B22DA6">
      <w:pPr>
        <w:pStyle w:val="Heading1"/>
        <w:numPr>
          <w:ilvl w:val="0"/>
          <w:numId w:val="0"/>
        </w:numPr>
        <w:rPr>
          <w:rFonts w:eastAsia="宋体"/>
          <w:lang w:eastAsia="zh-CN"/>
        </w:rPr>
      </w:pPr>
      <w:r>
        <w:t>References</w:t>
      </w:r>
    </w:p>
    <w:p w:rsidR="00C53757" w:rsidRDefault="00595F11" w:rsidP="00F71A33">
      <w:r>
        <w:t xml:space="preserve">[1] </w:t>
      </w:r>
      <w:r w:rsidRPr="00595F11">
        <w:t>R4-2111542</w:t>
      </w:r>
      <w:r>
        <w:t xml:space="preserve">, </w:t>
      </w:r>
      <w:r w:rsidRPr="00595F11">
        <w:t>LS on synchronous operation between Uu and SL in TDD band</w:t>
      </w:r>
      <w:r>
        <w:t>, CATT</w:t>
      </w:r>
    </w:p>
    <w:sectPr w:rsidR="00C53757" w:rsidSect="00AD2E43">
      <w:footerReference w:type="default" r:id="rId3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D15" w:rsidRDefault="00A66D15" w:rsidP="0052762B">
      <w:r>
        <w:separator/>
      </w:r>
    </w:p>
  </w:endnote>
  <w:endnote w:type="continuationSeparator" w:id="0">
    <w:p w:rsidR="00A66D15" w:rsidRDefault="00A66D1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D15" w:rsidRDefault="00A66D15" w:rsidP="0052762B">
      <w:r>
        <w:separator/>
      </w:r>
    </w:p>
  </w:footnote>
  <w:footnote w:type="continuationSeparator" w:id="0">
    <w:p w:rsidR="00A66D15" w:rsidRDefault="00A66D1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77D9E"/>
    <w:multiLevelType w:val="hybridMultilevel"/>
    <w:tmpl w:val="A0AEDE84"/>
    <w:lvl w:ilvl="0" w:tplc="310AC0D6">
      <w:start w:val="1"/>
      <w:numFmt w:val="bullet"/>
      <w:lvlText w:val="-"/>
      <w:lvlJc w:val="left"/>
      <w:pPr>
        <w:ind w:left="420" w:hanging="420"/>
      </w:pPr>
      <w:rPr>
        <w:rFonts w:ascii="Arial" w:eastAsia="Calibri" w:hAnsi="Arial" w:cs="Arial" w:hint="default"/>
        <w:color w:val="auto"/>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D053261"/>
    <w:multiLevelType w:val="hybridMultilevel"/>
    <w:tmpl w:val="721CFD5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F153F3"/>
    <w:multiLevelType w:val="hybridMultilevel"/>
    <w:tmpl w:val="8CC60D56"/>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8"/>
  </w:num>
  <w:num w:numId="4">
    <w:abstractNumId w:val="41"/>
  </w:num>
  <w:num w:numId="5">
    <w:abstractNumId w:val="1"/>
  </w:num>
  <w:num w:numId="6">
    <w:abstractNumId w:val="39"/>
  </w:num>
  <w:num w:numId="7">
    <w:abstractNumId w:val="18"/>
  </w:num>
  <w:num w:numId="8">
    <w:abstractNumId w:val="32"/>
  </w:num>
  <w:num w:numId="9">
    <w:abstractNumId w:val="44"/>
  </w:num>
  <w:num w:numId="10">
    <w:abstractNumId w:val="13"/>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7"/>
  </w:num>
  <w:num w:numId="20">
    <w:abstractNumId w:val="25"/>
  </w:num>
  <w:num w:numId="21">
    <w:abstractNumId w:val="15"/>
  </w:num>
  <w:num w:numId="22">
    <w:abstractNumId w:val="6"/>
  </w:num>
  <w:num w:numId="23">
    <w:abstractNumId w:val="23"/>
  </w:num>
  <w:num w:numId="24">
    <w:abstractNumId w:val="38"/>
  </w:num>
  <w:num w:numId="25">
    <w:abstractNumId w:val="9"/>
  </w:num>
  <w:num w:numId="26">
    <w:abstractNumId w:val="37"/>
  </w:num>
  <w:num w:numId="27">
    <w:abstractNumId w:val="35"/>
  </w:num>
  <w:num w:numId="28">
    <w:abstractNumId w:val="19"/>
  </w:num>
  <w:num w:numId="29">
    <w:abstractNumId w:val="43"/>
  </w:num>
  <w:num w:numId="30">
    <w:abstractNumId w:val="29"/>
  </w:num>
  <w:num w:numId="31">
    <w:abstractNumId w:val="17"/>
  </w:num>
  <w:num w:numId="32">
    <w:abstractNumId w:val="33"/>
  </w:num>
  <w:num w:numId="33">
    <w:abstractNumId w:val="7"/>
  </w:num>
  <w:num w:numId="34">
    <w:abstractNumId w:val="10"/>
  </w:num>
  <w:num w:numId="35">
    <w:abstractNumId w:val="34"/>
  </w:num>
  <w:num w:numId="36">
    <w:abstractNumId w:val="20"/>
  </w:num>
  <w:num w:numId="37">
    <w:abstractNumId w:val="8"/>
  </w:num>
  <w:num w:numId="38">
    <w:abstractNumId w:val="30"/>
  </w:num>
  <w:num w:numId="39">
    <w:abstractNumId w:val="4"/>
  </w:num>
  <w:num w:numId="40">
    <w:abstractNumId w:val="26"/>
  </w:num>
  <w:num w:numId="41">
    <w:abstractNumId w:val="16"/>
  </w:num>
  <w:num w:numId="42">
    <w:abstractNumId w:val="14"/>
  </w:num>
  <w:num w:numId="43">
    <w:abstractNumId w:val="3"/>
  </w:num>
  <w:num w:numId="44">
    <w:abstractNumId w:val="42"/>
  </w:num>
  <w:num w:numId="45">
    <w:abstractNumId w:val="31"/>
  </w:num>
  <w:num w:numId="46">
    <w:abstractNumId w:val="24"/>
  </w:num>
  <w:num w:numId="47">
    <w:abstractNumId w:val="36"/>
  </w:num>
  <w:num w:numId="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4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3DD"/>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3D8E"/>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195"/>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332"/>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014"/>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A25"/>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3A67"/>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4DA"/>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115"/>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022"/>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9FE"/>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4BF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288"/>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32C"/>
    <w:rsid w:val="004C19DF"/>
    <w:rsid w:val="004C1B00"/>
    <w:rsid w:val="004C219A"/>
    <w:rsid w:val="004C3AD6"/>
    <w:rsid w:val="004C4227"/>
    <w:rsid w:val="004C4B1D"/>
    <w:rsid w:val="004C53D8"/>
    <w:rsid w:val="004C5872"/>
    <w:rsid w:val="004C66F1"/>
    <w:rsid w:val="004C6C5C"/>
    <w:rsid w:val="004C6F0A"/>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31B1"/>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576"/>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291"/>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51A"/>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11"/>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487"/>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153"/>
    <w:rsid w:val="005E423C"/>
    <w:rsid w:val="005E4410"/>
    <w:rsid w:val="005E4829"/>
    <w:rsid w:val="005E4EA1"/>
    <w:rsid w:val="005E5E8F"/>
    <w:rsid w:val="005E611E"/>
    <w:rsid w:val="005E631C"/>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8E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2F6"/>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2F61"/>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51F"/>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8D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214"/>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008"/>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089D"/>
    <w:rsid w:val="009E123E"/>
    <w:rsid w:val="009E12F0"/>
    <w:rsid w:val="009E1400"/>
    <w:rsid w:val="009E32C6"/>
    <w:rsid w:val="009E3904"/>
    <w:rsid w:val="009E3C96"/>
    <w:rsid w:val="009E4618"/>
    <w:rsid w:val="009E4F63"/>
    <w:rsid w:val="009E5461"/>
    <w:rsid w:val="009E56F8"/>
    <w:rsid w:val="009E5907"/>
    <w:rsid w:val="009E592B"/>
    <w:rsid w:val="009E6373"/>
    <w:rsid w:val="009E7474"/>
    <w:rsid w:val="009E747F"/>
    <w:rsid w:val="009E7BC3"/>
    <w:rsid w:val="009F0CB4"/>
    <w:rsid w:val="009F140E"/>
    <w:rsid w:val="009F2381"/>
    <w:rsid w:val="009F2759"/>
    <w:rsid w:val="009F2B99"/>
    <w:rsid w:val="009F3042"/>
    <w:rsid w:val="009F313C"/>
    <w:rsid w:val="009F4E34"/>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B1E"/>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D15"/>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181"/>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2CB"/>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C43"/>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591"/>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321"/>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7FF"/>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1E45"/>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373"/>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00C"/>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A7E2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5E3D"/>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0BD"/>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3F98"/>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23B"/>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uiPriority w:val="99"/>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uiPriority w:val="99"/>
    <w:qFormat/>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出段落2"/>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B12">
    <w:name w:val="B1 (文字)"/>
    <w:uiPriority w:val="99"/>
    <w:qFormat/>
    <w:locked/>
    <w:rsid w:val="00E9500C"/>
    <w:rPr>
      <w:rFonts w:eastAsia="Times New Roman"/>
      <w:lang w:val="en-GB" w:eastAsia="en-US"/>
    </w:rPr>
  </w:style>
  <w:style w:type="character" w:customStyle="1" w:styleId="TFZchn">
    <w:name w:val="TF Zchn"/>
    <w:locked/>
    <w:rsid w:val="007B0214"/>
    <w:rPr>
      <w:rFonts w:ascii="Arial" w:hAnsi="Arial" w:cs="Arial"/>
      <w:b/>
      <w:lang w:eastAsia="en-US"/>
    </w:rPr>
  </w:style>
  <w:style w:type="paragraph" w:customStyle="1" w:styleId="CharChar3CharCharCharCharCharChar">
    <w:name w:val="Char Char3 Char Char Char Char Char Char"/>
    <w:semiHidden/>
    <w:rsid w:val="00CA77FF"/>
    <w:pPr>
      <w:keepNext/>
      <w:autoSpaceDE w:val="0"/>
      <w:autoSpaceDN w:val="0"/>
      <w:adjustRightInd w:val="0"/>
      <w:spacing w:before="60" w:after="60"/>
      <w:ind w:left="567" w:hanging="283"/>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819728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3628260">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231335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6.wmf"/><Relationship Id="rId33"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8.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2.bin"/><Relationship Id="rId32"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image" Target="media/image7.emf"/><Relationship Id="rId30" Type="http://schemas.openxmlformats.org/officeDocument/2006/relationships/oleObject" Target="embeddings/oleObject15.bin"/><Relationship Id="rId35" Type="http://schemas.openxmlformats.org/officeDocument/2006/relationships/fontTable" Target="fontTable.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BAF0-EB1D-4A4E-8EEE-B191D221E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246</TotalTime>
  <Pages>3</Pages>
  <Words>1155</Words>
  <Characters>6585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7725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10</cp:revision>
  <cp:lastPrinted>2010-01-07T02:23:00Z</cp:lastPrinted>
  <dcterms:created xsi:type="dcterms:W3CDTF">2021-08-05T09:44:00Z</dcterms:created>
  <dcterms:modified xsi:type="dcterms:W3CDTF">2021-08-06T19:03:00Z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(3)0wjZP0uPs9vzq8swekeni3nITnZoav5WBEA9QmpXiLhnWgcH5VFs8HzI9oHlmePgmQL7s6Kq
t83R62QrHCJmQapyE5xwpgkAKFJAT6h8gtfJqShKEOJkI9YHByPCf3Btet3L14PNJcvMLNQ6
2T+U786BzQ4sRHvdgze0+5Ul8T36J4BZoe9GFjIT3/pwYddaHg1iDKSsHU5YjBTKcN/vbqWj
4sDYou796pGvu6uZc+</vt:lpwstr>
  </property>
  <property fmtid="{D5CDD505-2E9C-101B-9397-08002B2CF9AE}" pid="15" name="_2015_ms_pID_725343_00">
    <vt:lpwstr>_2015_ms_pID_725343</vt:lpwstr>
  </property>
  <property fmtid="{D5CDD505-2E9C-101B-9397-08002B2CF9AE}" pid="16" name="_2015_ms_pID_7253431">
    <vt:lpwstr>XO1Ms7kjPI3KEtj5yoGfBjidLK9yIBVeCHQByWNeB0GrUvRXawcrRk
mFhGQKqSKE7bygMDCUDOPG2SQYOyGNLKLzZdSQJ/oyPWOFMByYASp9hpjm6ZNUpS18lCDIBS
vY3WE4zduBKg40QSWPxhX4r3ZbdUf6DCbVWWfTKyCN9NrRQFUdrMdPp1wHLYZT169d2k34RQ
+EPgu9qlmrCEs3LfstqAd5Gbz3GXzfkOXmlk</vt:lpwstr>
  </property>
  <property fmtid="{D5CDD505-2E9C-101B-9397-08002B2CF9AE}" pid="17" name="_2015_ms_pID_7253431_00">
    <vt:lpwstr>_2015_ms_pID_7253431</vt:lpwstr>
  </property>
  <property fmtid="{D5CDD505-2E9C-101B-9397-08002B2CF9AE}" pid="18" name="_2015_ms_pID_7253432">
    <vt:lpwstr>MbN7ZEzlou4V+OW5RPgezfs=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